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C869D1" w:rsidRDefault="00960F98" w:rsidP="00B15DD7">
      <w:pPr>
        <w:pStyle w:val="1"/>
        <w:rPr>
          <w:szCs w:val="24"/>
        </w:rPr>
      </w:pPr>
      <w:r w:rsidRPr="00C869D1">
        <w:rPr>
          <w:szCs w:val="24"/>
        </w:rPr>
        <w:t xml:space="preserve"> </w:t>
      </w:r>
      <w:r w:rsidR="00B15DD7" w:rsidRPr="00C869D1">
        <w:rPr>
          <w:szCs w:val="24"/>
        </w:rPr>
        <w:t xml:space="preserve">                                                                                                Утверждаю</w:t>
      </w:r>
    </w:p>
    <w:p w:rsidR="00B15DD7" w:rsidRPr="00C869D1" w:rsidRDefault="0046141B" w:rsidP="00B15DD7">
      <w:pPr>
        <w:pStyle w:val="1"/>
        <w:ind w:left="5760"/>
        <w:rPr>
          <w:szCs w:val="24"/>
        </w:rPr>
      </w:pPr>
      <w:r w:rsidRPr="00C869D1">
        <w:rPr>
          <w:szCs w:val="24"/>
        </w:rPr>
        <w:t xml:space="preserve"> </w:t>
      </w:r>
      <w:r w:rsidR="00A648C9" w:rsidRPr="00C869D1">
        <w:rPr>
          <w:szCs w:val="24"/>
        </w:rPr>
        <w:t>Директор</w:t>
      </w:r>
    </w:p>
    <w:p w:rsidR="00B15DD7" w:rsidRPr="00C869D1" w:rsidRDefault="00B15DD7" w:rsidP="00B15DD7">
      <w:pPr>
        <w:pStyle w:val="1"/>
        <w:ind w:left="5760"/>
        <w:rPr>
          <w:b/>
          <w:i/>
          <w:szCs w:val="24"/>
        </w:rPr>
      </w:pPr>
      <w:r w:rsidRPr="00C869D1">
        <w:rPr>
          <w:szCs w:val="24"/>
        </w:rPr>
        <w:t>КГП на ПХВ «</w:t>
      </w:r>
      <w:r w:rsidRPr="00C869D1">
        <w:rPr>
          <w:szCs w:val="24"/>
          <w:lang w:val="kk-KZ"/>
        </w:rPr>
        <w:t>Многопрофильная</w:t>
      </w:r>
      <w:r w:rsidRPr="00C869D1">
        <w:rPr>
          <w:szCs w:val="24"/>
        </w:rPr>
        <w:t xml:space="preserve"> городская больница</w:t>
      </w:r>
      <w:r w:rsidR="00A648C9" w:rsidRPr="00C869D1">
        <w:rPr>
          <w:szCs w:val="24"/>
        </w:rPr>
        <w:t xml:space="preserve"> скорой медицинской помощи</w:t>
      </w:r>
      <w:r w:rsidRPr="00C869D1">
        <w:rPr>
          <w:szCs w:val="24"/>
        </w:rPr>
        <w:t>»</w:t>
      </w:r>
      <w:r w:rsidRPr="00C869D1">
        <w:rPr>
          <w:rStyle w:val="a8"/>
          <w:color w:val="000000"/>
          <w:szCs w:val="24"/>
        </w:rPr>
        <w:t xml:space="preserve"> </w:t>
      </w:r>
      <w:r w:rsidRPr="00C869D1">
        <w:rPr>
          <w:rStyle w:val="a8"/>
          <w:b w:val="0"/>
          <w:color w:val="000000"/>
          <w:szCs w:val="24"/>
        </w:rPr>
        <w:t xml:space="preserve">КГУ «УЗ </w:t>
      </w:r>
      <w:proofErr w:type="spellStart"/>
      <w:r w:rsidRPr="00C869D1">
        <w:rPr>
          <w:rStyle w:val="a8"/>
          <w:b w:val="0"/>
          <w:color w:val="000000"/>
          <w:szCs w:val="24"/>
        </w:rPr>
        <w:t>акимата</w:t>
      </w:r>
      <w:proofErr w:type="spellEnd"/>
      <w:r w:rsidRPr="00C869D1">
        <w:rPr>
          <w:rStyle w:val="a8"/>
          <w:b w:val="0"/>
          <w:color w:val="000000"/>
          <w:szCs w:val="24"/>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871311" w:rsidRDefault="00B15DD7" w:rsidP="00B15DD7">
      <w:pPr>
        <w:pStyle w:val="1"/>
        <w:rPr>
          <w:szCs w:val="24"/>
        </w:rPr>
      </w:pPr>
      <w:r w:rsidRPr="00871311">
        <w:rPr>
          <w:szCs w:val="24"/>
        </w:rPr>
        <w:t xml:space="preserve">                                                                                                </w:t>
      </w:r>
      <w:r w:rsidR="00C52267" w:rsidRPr="00871311">
        <w:rPr>
          <w:szCs w:val="24"/>
        </w:rPr>
        <w:t>Приказ №</w:t>
      </w:r>
      <w:r w:rsidR="00C869D1">
        <w:rPr>
          <w:szCs w:val="24"/>
        </w:rPr>
        <w:t xml:space="preserve"> </w:t>
      </w:r>
      <w:r w:rsidR="002D69CE">
        <w:rPr>
          <w:szCs w:val="24"/>
        </w:rPr>
        <w:t xml:space="preserve"> </w:t>
      </w:r>
      <w:r w:rsidR="008B258C">
        <w:rPr>
          <w:szCs w:val="24"/>
        </w:rPr>
        <w:t>247</w:t>
      </w:r>
      <w:r w:rsidR="00C869D1">
        <w:rPr>
          <w:szCs w:val="24"/>
        </w:rPr>
        <w:t xml:space="preserve"> </w:t>
      </w:r>
      <w:r w:rsidR="005F3C1F" w:rsidRPr="00871311">
        <w:rPr>
          <w:szCs w:val="24"/>
        </w:rPr>
        <w:t>-</w:t>
      </w:r>
      <w:r w:rsidR="002D69CE">
        <w:rPr>
          <w:szCs w:val="24"/>
        </w:rPr>
        <w:t>О от 2</w:t>
      </w:r>
      <w:r w:rsidR="008A3D03">
        <w:rPr>
          <w:szCs w:val="24"/>
        </w:rPr>
        <w:t>2.05</w:t>
      </w:r>
      <w:r w:rsidR="00871311" w:rsidRPr="00871311">
        <w:rPr>
          <w:szCs w:val="24"/>
        </w:rPr>
        <w:t xml:space="preserve">.2023 </w:t>
      </w:r>
      <w:r w:rsidR="001E5561" w:rsidRPr="00871311">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F21AD1">
        <w:rPr>
          <w:b/>
          <w:sz w:val="24"/>
          <w:szCs w:val="24"/>
        </w:rPr>
        <w:t>медицинских изделий</w:t>
      </w:r>
    </w:p>
    <w:p w:rsidR="00CC79D0" w:rsidRPr="00A778B6" w:rsidRDefault="00B15DD7" w:rsidP="00CC79D0">
      <w:pPr>
        <w:rPr>
          <w:b/>
          <w:sz w:val="24"/>
          <w:szCs w:val="24"/>
        </w:rPr>
      </w:pPr>
      <w:r w:rsidRPr="00A778B6">
        <w:rPr>
          <w:b/>
          <w:sz w:val="24"/>
          <w:szCs w:val="24"/>
        </w:rPr>
        <w:tab/>
      </w:r>
      <w:r w:rsidRPr="00A778B6">
        <w:rPr>
          <w:sz w:val="24"/>
          <w:szCs w:val="24"/>
        </w:rPr>
        <w:t>Настоящая тендерная документация, предоставляемая организатором</w:t>
      </w:r>
      <w:r w:rsidR="00EC3FA0" w:rsidRPr="00A778B6">
        <w:rPr>
          <w:sz w:val="24"/>
          <w:szCs w:val="24"/>
        </w:rPr>
        <w:t xml:space="preserve"> (заказчиком)</w:t>
      </w:r>
      <w:r w:rsidRPr="00A778B6">
        <w:rPr>
          <w:sz w:val="24"/>
          <w:szCs w:val="24"/>
        </w:rPr>
        <w:t xml:space="preserve"> тендера – КГП на ПХВ «</w:t>
      </w:r>
      <w:r w:rsidRPr="00A778B6">
        <w:rPr>
          <w:sz w:val="24"/>
          <w:szCs w:val="24"/>
          <w:lang w:val="kk-KZ"/>
        </w:rPr>
        <w:t>Многопрофильная</w:t>
      </w:r>
      <w:r w:rsidRPr="00A778B6">
        <w:rPr>
          <w:sz w:val="24"/>
          <w:szCs w:val="24"/>
        </w:rPr>
        <w:t xml:space="preserve"> городская больница</w:t>
      </w:r>
      <w:r w:rsidR="00A648C9" w:rsidRPr="00A778B6">
        <w:rPr>
          <w:sz w:val="24"/>
          <w:szCs w:val="24"/>
        </w:rPr>
        <w:t xml:space="preserve"> скорой медицинской помощи</w:t>
      </w:r>
      <w:r w:rsidRPr="00A778B6">
        <w:rPr>
          <w:sz w:val="24"/>
          <w:szCs w:val="24"/>
        </w:rPr>
        <w:t>»</w:t>
      </w:r>
      <w:r w:rsidRPr="00A778B6">
        <w:rPr>
          <w:rStyle w:val="a8"/>
          <w:b w:val="0"/>
          <w:sz w:val="24"/>
          <w:szCs w:val="24"/>
        </w:rPr>
        <w:t xml:space="preserve"> КГУ «УЗ </w:t>
      </w:r>
      <w:proofErr w:type="spellStart"/>
      <w:r w:rsidRPr="00A778B6">
        <w:rPr>
          <w:rStyle w:val="a8"/>
          <w:b w:val="0"/>
          <w:sz w:val="24"/>
          <w:szCs w:val="24"/>
        </w:rPr>
        <w:t>акимата</w:t>
      </w:r>
      <w:proofErr w:type="spellEnd"/>
      <w:r w:rsidRPr="00A778B6">
        <w:rPr>
          <w:rStyle w:val="a8"/>
          <w:b w:val="0"/>
          <w:sz w:val="24"/>
          <w:szCs w:val="24"/>
        </w:rPr>
        <w:t xml:space="preserve"> СКО</w:t>
      </w:r>
      <w:r w:rsidRPr="00A778B6">
        <w:rPr>
          <w:rStyle w:val="a8"/>
          <w:sz w:val="24"/>
          <w:szCs w:val="24"/>
        </w:rPr>
        <w:t>»</w:t>
      </w:r>
      <w:r w:rsidRPr="00A778B6">
        <w:rPr>
          <w:sz w:val="24"/>
          <w:szCs w:val="24"/>
        </w:rPr>
        <w:t xml:space="preserve"> потенциальным поставщикам для подготовки тендерных заявок и участия в тендере по закупу </w:t>
      </w:r>
      <w:r w:rsidR="005737D8">
        <w:rPr>
          <w:sz w:val="24"/>
          <w:szCs w:val="24"/>
        </w:rPr>
        <w:t>медицинских изделий</w:t>
      </w:r>
      <w:proofErr w:type="gramStart"/>
      <w:r w:rsidR="005737D8">
        <w:rPr>
          <w:sz w:val="24"/>
          <w:szCs w:val="24"/>
        </w:rPr>
        <w:t xml:space="preserve"> </w:t>
      </w:r>
      <w:r w:rsidR="00973B70" w:rsidRPr="00A778B6">
        <w:rPr>
          <w:sz w:val="24"/>
          <w:szCs w:val="24"/>
        </w:rPr>
        <w:t>,</w:t>
      </w:r>
      <w:proofErr w:type="gramEnd"/>
      <w:r w:rsidRPr="00A778B6">
        <w:rPr>
          <w:sz w:val="24"/>
          <w:szCs w:val="24"/>
        </w:rPr>
        <w:t xml:space="preserve">(далее - Тендерная документация), разработана в соответствии </w:t>
      </w:r>
      <w:r w:rsidR="005737D8">
        <w:rPr>
          <w:sz w:val="24"/>
          <w:szCs w:val="24"/>
        </w:rPr>
        <w:t xml:space="preserve"> с </w:t>
      </w:r>
      <w:r w:rsidR="005737D8">
        <w:rPr>
          <w:sz w:val="22"/>
          <w:szCs w:val="22"/>
        </w:rPr>
        <w:t>постановлением</w:t>
      </w:r>
      <w:r w:rsidR="005737D8" w:rsidRPr="001F464A">
        <w:rPr>
          <w:sz w:val="22"/>
          <w:szCs w:val="22"/>
        </w:rPr>
        <w:t xml:space="preserve"> Правительства Республики Казахстан от 4 июня 2021 года № 375</w:t>
      </w:r>
      <w:r w:rsidR="005737D8">
        <w:rPr>
          <w:sz w:val="22"/>
          <w:szCs w:val="22"/>
        </w:rPr>
        <w:t xml:space="preserve"> «</w:t>
      </w:r>
      <w:r w:rsidR="005737D8" w:rsidRPr="001F464A">
        <w:rPr>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5737D8">
        <w:rPr>
          <w:sz w:val="22"/>
          <w:szCs w:val="22"/>
        </w:rPr>
        <w:t>»</w:t>
      </w:r>
      <w:r w:rsidR="005737D8" w:rsidRPr="001F464A">
        <w:rPr>
          <w:sz w:val="22"/>
          <w:szCs w:val="22"/>
        </w:rPr>
        <w:t xml:space="preserve">, </w:t>
      </w:r>
      <w:proofErr w:type="gramStart"/>
      <w:r w:rsidR="005737D8" w:rsidRPr="001F464A">
        <w:rPr>
          <w:sz w:val="22"/>
          <w:szCs w:val="22"/>
        </w:rPr>
        <w:t xml:space="preserve">( </w:t>
      </w:r>
      <w:proofErr w:type="spellStart"/>
      <w:proofErr w:type="gramEnd"/>
      <w:r w:rsidR="005737D8" w:rsidRPr="001F464A">
        <w:rPr>
          <w:sz w:val="22"/>
          <w:szCs w:val="22"/>
        </w:rPr>
        <w:t>далее-Правила</w:t>
      </w:r>
      <w:proofErr w:type="spellEnd"/>
      <w:r w:rsidR="005737D8" w:rsidRPr="001F464A">
        <w:rPr>
          <w:sz w:val="22"/>
          <w:szCs w:val="22"/>
        </w:rPr>
        <w:t>)</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0F7681" w:rsidP="00B15DD7">
      <w:pPr>
        <w:rPr>
          <w:sz w:val="22"/>
          <w:szCs w:val="22"/>
        </w:rPr>
      </w:pPr>
      <w:hyperlink r:id="rId7"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8"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9"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10"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1846C9">
        <w:rPr>
          <w:sz w:val="24"/>
          <w:szCs w:val="24"/>
          <w:lang w:eastAsia="ko-KR"/>
        </w:rPr>
        <w:t xml:space="preserve">главы 3 и </w:t>
      </w:r>
      <w:r w:rsidR="00B30FED">
        <w:rPr>
          <w:sz w:val="24"/>
          <w:szCs w:val="24"/>
          <w:lang w:eastAsia="ko-KR"/>
        </w:rPr>
        <w:t>к закупаемым медицинским изделиям</w:t>
      </w:r>
      <w:r w:rsidR="001846C9">
        <w:rPr>
          <w:sz w:val="24"/>
          <w:szCs w:val="24"/>
          <w:lang w:eastAsia="ko-KR"/>
        </w:rPr>
        <w:t xml:space="preserve"> главы 4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lastRenderedPageBreak/>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1"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lastRenderedPageBreak/>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2"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3"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2D69CE">
        <w:rPr>
          <w:i/>
        </w:rPr>
        <w:t>1</w:t>
      </w:r>
      <w:r w:rsidR="000A32AA">
        <w:rPr>
          <w:i/>
        </w:rPr>
        <w:t xml:space="preserve">2 </w:t>
      </w:r>
      <w:r w:rsidR="008A3D03">
        <w:rPr>
          <w:i/>
        </w:rPr>
        <w:t>июня</w:t>
      </w:r>
      <w:r w:rsidR="00C852E3" w:rsidRPr="00A778B6">
        <w:rPr>
          <w:i/>
        </w:rPr>
        <w:t xml:space="preserve"> </w:t>
      </w:r>
      <w:r w:rsidR="00F21AD1">
        <w:rPr>
          <w:i/>
        </w:rPr>
        <w:t>2023</w:t>
      </w:r>
      <w:r w:rsidR="00B37B15" w:rsidRPr="00A778B6">
        <w:rPr>
          <w:i/>
        </w:rPr>
        <w:t xml:space="preserve"> года</w:t>
      </w:r>
      <w:r w:rsidR="00837BBB" w:rsidRPr="00A778B6">
        <w:rPr>
          <w:i/>
        </w:rPr>
        <w:t xml:space="preserve"> </w:t>
      </w:r>
      <w:r w:rsidR="008A3D03">
        <w:rPr>
          <w:i/>
        </w:rPr>
        <w:t xml:space="preserve">до </w:t>
      </w:r>
      <w:r w:rsidR="00837BBB" w:rsidRPr="00A778B6">
        <w:rPr>
          <w:i/>
        </w:rPr>
        <w:t>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2D69CE">
        <w:t>1</w:t>
      </w:r>
      <w:r w:rsidR="008A3D03">
        <w:t>2 июня</w:t>
      </w:r>
      <w:r w:rsidR="0053426B" w:rsidRPr="00DD7045">
        <w:rPr>
          <w:i/>
          <w:color w:val="C00000"/>
        </w:rPr>
        <w:t xml:space="preserve"> </w:t>
      </w:r>
      <w:r w:rsidR="00F21AD1">
        <w:t>2023</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2D69CE">
        <w:rPr>
          <w:sz w:val="24"/>
          <w:szCs w:val="24"/>
        </w:rPr>
        <w:t>1</w:t>
      </w:r>
      <w:r w:rsidR="000A32AA">
        <w:rPr>
          <w:sz w:val="24"/>
          <w:szCs w:val="24"/>
        </w:rPr>
        <w:t xml:space="preserve">2 </w:t>
      </w:r>
      <w:r w:rsidR="008A3D03">
        <w:rPr>
          <w:sz w:val="24"/>
          <w:szCs w:val="24"/>
        </w:rPr>
        <w:t>июня</w:t>
      </w:r>
      <w:r w:rsidR="0053426B" w:rsidRPr="00A778B6">
        <w:rPr>
          <w:i/>
        </w:rPr>
        <w:t xml:space="preserve"> </w:t>
      </w:r>
      <w:r w:rsidR="00F216F5" w:rsidRPr="00A778B6">
        <w:rPr>
          <w:sz w:val="22"/>
          <w:szCs w:val="22"/>
        </w:rPr>
        <w:t>202</w:t>
      </w:r>
      <w:r w:rsidR="00F21AD1">
        <w:rPr>
          <w:sz w:val="22"/>
          <w:szCs w:val="22"/>
        </w:rPr>
        <w:t>3</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 xml:space="preserve">г.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r w:rsidR="000D7D6A">
        <w:rPr>
          <w:sz w:val="24"/>
          <w:szCs w:val="24"/>
        </w:rPr>
        <w:t>, с применением ауди</w:t>
      </w:r>
      <w:proofErr w:type="gramStart"/>
      <w:r w:rsidR="000D7D6A">
        <w:rPr>
          <w:sz w:val="24"/>
          <w:szCs w:val="24"/>
        </w:rPr>
        <w:t>о-</w:t>
      </w:r>
      <w:proofErr w:type="gramEnd"/>
      <w:r w:rsidR="000D7D6A">
        <w:rPr>
          <w:sz w:val="24"/>
          <w:szCs w:val="24"/>
        </w:rPr>
        <w:t xml:space="preserve"> и </w:t>
      </w:r>
      <w:proofErr w:type="spellStart"/>
      <w:r w:rsidR="000D7D6A">
        <w:rPr>
          <w:sz w:val="24"/>
          <w:szCs w:val="24"/>
        </w:rPr>
        <w:t>видеофиксации</w:t>
      </w:r>
      <w:proofErr w:type="spellEnd"/>
      <w:r w:rsidR="000D7D6A">
        <w:rPr>
          <w:sz w:val="24"/>
          <w:szCs w:val="24"/>
        </w:rPr>
        <w:t>.</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4"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5"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6"/>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0D7" w:rsidRDefault="00FF40D7" w:rsidP="00AF0633">
      <w:r>
        <w:separator/>
      </w:r>
    </w:p>
  </w:endnote>
  <w:endnote w:type="continuationSeparator" w:id="0">
    <w:p w:rsidR="00FF40D7" w:rsidRDefault="00FF40D7"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0D7" w:rsidRDefault="00FF40D7" w:rsidP="00AF0633">
      <w:r>
        <w:separator/>
      </w:r>
    </w:p>
  </w:footnote>
  <w:footnote w:type="continuationSeparator" w:id="0">
    <w:p w:rsidR="00FF40D7" w:rsidRDefault="00FF40D7"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FF40D7">
    <w:pPr>
      <w:pStyle w:val="a5"/>
    </w:pPr>
  </w:p>
  <w:p w:rsidR="0045647F" w:rsidRDefault="000F7681">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FF40D7"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28002"/>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A215E"/>
    <w:rsid w:val="000A2D9F"/>
    <w:rsid w:val="000A32AA"/>
    <w:rsid w:val="000A7BF3"/>
    <w:rsid w:val="000B13C4"/>
    <w:rsid w:val="000D1833"/>
    <w:rsid w:val="000D7D6A"/>
    <w:rsid w:val="000F7681"/>
    <w:rsid w:val="00115FC3"/>
    <w:rsid w:val="00117613"/>
    <w:rsid w:val="00124B70"/>
    <w:rsid w:val="001438BB"/>
    <w:rsid w:val="00157F9A"/>
    <w:rsid w:val="00183896"/>
    <w:rsid w:val="001846C9"/>
    <w:rsid w:val="00197D43"/>
    <w:rsid w:val="001A6FA6"/>
    <w:rsid w:val="001B5010"/>
    <w:rsid w:val="001D5175"/>
    <w:rsid w:val="001E5561"/>
    <w:rsid w:val="001F49BD"/>
    <w:rsid w:val="00217C56"/>
    <w:rsid w:val="002418FB"/>
    <w:rsid w:val="00250507"/>
    <w:rsid w:val="00251C08"/>
    <w:rsid w:val="002532AA"/>
    <w:rsid w:val="002633F9"/>
    <w:rsid w:val="002652B4"/>
    <w:rsid w:val="0027043F"/>
    <w:rsid w:val="00270839"/>
    <w:rsid w:val="002769C5"/>
    <w:rsid w:val="00277380"/>
    <w:rsid w:val="002813E8"/>
    <w:rsid w:val="002910EC"/>
    <w:rsid w:val="002B057C"/>
    <w:rsid w:val="002B5030"/>
    <w:rsid w:val="002C52AA"/>
    <w:rsid w:val="002C5ABD"/>
    <w:rsid w:val="002C5AF0"/>
    <w:rsid w:val="002D69CE"/>
    <w:rsid w:val="00305864"/>
    <w:rsid w:val="0030662D"/>
    <w:rsid w:val="00321411"/>
    <w:rsid w:val="00327CE9"/>
    <w:rsid w:val="00345F01"/>
    <w:rsid w:val="00361FBF"/>
    <w:rsid w:val="003E7BA3"/>
    <w:rsid w:val="004056E6"/>
    <w:rsid w:val="0044174C"/>
    <w:rsid w:val="004529F9"/>
    <w:rsid w:val="00452AFD"/>
    <w:rsid w:val="0045345C"/>
    <w:rsid w:val="00454252"/>
    <w:rsid w:val="0046141B"/>
    <w:rsid w:val="00467256"/>
    <w:rsid w:val="004B1D7C"/>
    <w:rsid w:val="004B7690"/>
    <w:rsid w:val="004C794D"/>
    <w:rsid w:val="004D1542"/>
    <w:rsid w:val="004D4558"/>
    <w:rsid w:val="004D56F3"/>
    <w:rsid w:val="004E0C6C"/>
    <w:rsid w:val="004E33BF"/>
    <w:rsid w:val="00500692"/>
    <w:rsid w:val="00517D11"/>
    <w:rsid w:val="00521C2C"/>
    <w:rsid w:val="00527727"/>
    <w:rsid w:val="00527A58"/>
    <w:rsid w:val="0053426B"/>
    <w:rsid w:val="00536AAF"/>
    <w:rsid w:val="00537761"/>
    <w:rsid w:val="00565814"/>
    <w:rsid w:val="005737D8"/>
    <w:rsid w:val="005A5BA8"/>
    <w:rsid w:val="005D0D7D"/>
    <w:rsid w:val="005F3C1F"/>
    <w:rsid w:val="00600F8C"/>
    <w:rsid w:val="00605806"/>
    <w:rsid w:val="00605FC0"/>
    <w:rsid w:val="006102F3"/>
    <w:rsid w:val="0061058E"/>
    <w:rsid w:val="006111E4"/>
    <w:rsid w:val="006157B9"/>
    <w:rsid w:val="006302EE"/>
    <w:rsid w:val="006303BF"/>
    <w:rsid w:val="00630DC5"/>
    <w:rsid w:val="00635E29"/>
    <w:rsid w:val="00637294"/>
    <w:rsid w:val="00637728"/>
    <w:rsid w:val="00637B08"/>
    <w:rsid w:val="00641231"/>
    <w:rsid w:val="0067721C"/>
    <w:rsid w:val="00681D4B"/>
    <w:rsid w:val="006829F4"/>
    <w:rsid w:val="006A655D"/>
    <w:rsid w:val="006C5200"/>
    <w:rsid w:val="006E69D2"/>
    <w:rsid w:val="006E77E7"/>
    <w:rsid w:val="007028EB"/>
    <w:rsid w:val="00707C58"/>
    <w:rsid w:val="00710343"/>
    <w:rsid w:val="007162F0"/>
    <w:rsid w:val="00736E71"/>
    <w:rsid w:val="00764B10"/>
    <w:rsid w:val="00794324"/>
    <w:rsid w:val="007A1AD5"/>
    <w:rsid w:val="007B4C7F"/>
    <w:rsid w:val="007D10A7"/>
    <w:rsid w:val="007F2B04"/>
    <w:rsid w:val="00827D70"/>
    <w:rsid w:val="00832D68"/>
    <w:rsid w:val="00837BBB"/>
    <w:rsid w:val="0084020C"/>
    <w:rsid w:val="00842D95"/>
    <w:rsid w:val="00861F0C"/>
    <w:rsid w:val="00871311"/>
    <w:rsid w:val="00871457"/>
    <w:rsid w:val="00874E5F"/>
    <w:rsid w:val="0088099E"/>
    <w:rsid w:val="008A3D03"/>
    <w:rsid w:val="008A71E2"/>
    <w:rsid w:val="008B258C"/>
    <w:rsid w:val="008B4451"/>
    <w:rsid w:val="008D0311"/>
    <w:rsid w:val="008F1B9E"/>
    <w:rsid w:val="00906368"/>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5177"/>
    <w:rsid w:val="009C4DE7"/>
    <w:rsid w:val="009D46B2"/>
    <w:rsid w:val="009F5C1C"/>
    <w:rsid w:val="00A06220"/>
    <w:rsid w:val="00A2318F"/>
    <w:rsid w:val="00A27C16"/>
    <w:rsid w:val="00A35B94"/>
    <w:rsid w:val="00A47A8F"/>
    <w:rsid w:val="00A648C9"/>
    <w:rsid w:val="00A66D6F"/>
    <w:rsid w:val="00A70753"/>
    <w:rsid w:val="00A71154"/>
    <w:rsid w:val="00A778B6"/>
    <w:rsid w:val="00A864CE"/>
    <w:rsid w:val="00A904B0"/>
    <w:rsid w:val="00AB16CF"/>
    <w:rsid w:val="00AF0633"/>
    <w:rsid w:val="00B15DD7"/>
    <w:rsid w:val="00B30FED"/>
    <w:rsid w:val="00B31ECC"/>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643B6"/>
    <w:rsid w:val="00C852E3"/>
    <w:rsid w:val="00C85733"/>
    <w:rsid w:val="00C869D1"/>
    <w:rsid w:val="00CA583D"/>
    <w:rsid w:val="00CA6A58"/>
    <w:rsid w:val="00CC79D0"/>
    <w:rsid w:val="00CD10DB"/>
    <w:rsid w:val="00CD1F4C"/>
    <w:rsid w:val="00CE7983"/>
    <w:rsid w:val="00D11A48"/>
    <w:rsid w:val="00D25170"/>
    <w:rsid w:val="00D53598"/>
    <w:rsid w:val="00D63077"/>
    <w:rsid w:val="00D70E42"/>
    <w:rsid w:val="00D869D6"/>
    <w:rsid w:val="00D9165F"/>
    <w:rsid w:val="00D92FBE"/>
    <w:rsid w:val="00DA7ABB"/>
    <w:rsid w:val="00DB79AD"/>
    <w:rsid w:val="00DC2273"/>
    <w:rsid w:val="00DC60A8"/>
    <w:rsid w:val="00DD44E6"/>
    <w:rsid w:val="00DD7045"/>
    <w:rsid w:val="00DE348B"/>
    <w:rsid w:val="00E04FDF"/>
    <w:rsid w:val="00E12440"/>
    <w:rsid w:val="00E207FB"/>
    <w:rsid w:val="00E44AFD"/>
    <w:rsid w:val="00E612AD"/>
    <w:rsid w:val="00E85893"/>
    <w:rsid w:val="00EC3FA0"/>
    <w:rsid w:val="00EE358B"/>
    <w:rsid w:val="00EE5754"/>
    <w:rsid w:val="00F0233E"/>
    <w:rsid w:val="00F07464"/>
    <w:rsid w:val="00F216F5"/>
    <w:rsid w:val="00F21AD1"/>
    <w:rsid w:val="00F30850"/>
    <w:rsid w:val="00F34709"/>
    <w:rsid w:val="00F76508"/>
    <w:rsid w:val="00F817E3"/>
    <w:rsid w:val="00F96132"/>
    <w:rsid w:val="00FA1AAA"/>
    <w:rsid w:val="00FA501B"/>
    <w:rsid w:val="00FE3D78"/>
    <w:rsid w:val="00FE70C1"/>
    <w:rsid w:val="00FF3D67"/>
    <w:rsid w:val="00FF4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bik','ru')" TargetMode="External"/><Relationship Id="rId13" Type="http://schemas.openxmlformats.org/officeDocument/2006/relationships/hyperlink" Target="javascript:change_data('customer_bi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bank_name','ru')" TargetMode="External"/><Relationship Id="rId12" Type="http://schemas.openxmlformats.org/officeDocument/2006/relationships/hyperlink" Target="javascript:change_data('bank_nam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3gz2014@mail.ru" TargetMode="External"/><Relationship Id="rId5" Type="http://schemas.openxmlformats.org/officeDocument/2006/relationships/footnotes" Target="footnotes.xml"/><Relationship Id="rId15" Type="http://schemas.openxmlformats.org/officeDocument/2006/relationships/hyperlink" Target="javascript:change_data('customer_bik','ru')" TargetMode="External"/><Relationship Id="rId10" Type="http://schemas.openxmlformats.org/officeDocument/2006/relationships/hyperlink" Target="javascript:change_data('customer_bik','ru')" TargetMode="External"/><Relationship Id="rId4" Type="http://schemas.openxmlformats.org/officeDocument/2006/relationships/webSettings" Target="webSettings.xml"/><Relationship Id="rId9" Type="http://schemas.openxmlformats.org/officeDocument/2006/relationships/hyperlink" Target="javascript:change_data('bank_name','ru')" TargetMode="External"/><Relationship Id="rId1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F82CC-6158-430D-A4A4-7CFC0AB0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1</Pages>
  <Words>5328</Words>
  <Characters>30375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130</cp:revision>
  <cp:lastPrinted>2023-05-22T05:59:00Z</cp:lastPrinted>
  <dcterms:created xsi:type="dcterms:W3CDTF">2020-10-21T10:35:00Z</dcterms:created>
  <dcterms:modified xsi:type="dcterms:W3CDTF">2023-05-22T09:10:00Z</dcterms:modified>
</cp:coreProperties>
</file>